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CF" w:rsidRPr="00C362CF" w:rsidRDefault="00C362CF" w:rsidP="00C362CF">
      <w:pPr>
        <w:spacing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C362CF">
        <w:rPr>
          <w:rFonts w:ascii="Arial" w:hAnsi="Arial" w:cs="Arial"/>
          <w:b/>
          <w:color w:val="404040" w:themeColor="text1" w:themeTint="BF"/>
          <w:sz w:val="36"/>
          <w:szCs w:val="36"/>
        </w:rPr>
        <w:t>Взнос по программе софинансирования пенсионных накоплений необходимо сделать до конца года</w:t>
      </w:r>
    </w:p>
    <w:p w:rsidR="00C362CF" w:rsidRPr="005F55E6" w:rsidRDefault="00C362CF" w:rsidP="00C362CF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5F55E6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C362CF" w:rsidRPr="007E116D" w:rsidRDefault="007E116D" w:rsidP="00C362CF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C362CF" w:rsidRPr="007E116D" w:rsidRDefault="00C362CF" w:rsidP="00C362CF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5F55E6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C362CF" w:rsidRPr="007E116D" w:rsidRDefault="00C362CF" w:rsidP="00C362CF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Пенсионный фонд России напоминает участникам программы государственного софинансирования пенсионных накоплений о том, что взнос на будущую пенсию необходимо сделать до конца года. В этом случае государство обеспечит софинансирование взноса в зависимости от его размера и при условии, что он составит не менее 2 тыс. рублей в год.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Взнос по программе уплачивается самостоятельно или через работодателя. При самостоятельной уплате квитанцию с необходимыми реквизитами можно получить в банке, клиентской службе ПФР по месту жительства либо сформировать с помощью электронного сервиса ПФР.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Чтобы сделать взнос через работодателя, участнику необходимо подать в бухгалтерию заявление в произвольной форме с указанием размера платежа в денежной сумме или в процентах от зарплаты.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Независимо от того, каким способом перечислены средства, следует помнить, что они не облагаются налогом на доходы физических лиц, поэтому участники программы могут воспользоваться социальным налоговым вычетом на сумму уплаченных взносов.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Контролировать формирование средств в рамках программы софинансирования можно через личный кабинет на сайте Пенсионного фонда или портале Госуслуг. В нем отображается вся информация, включая совершенные платежи, поступившее государственное софинансирование и полученный от этих средств инвестиционный доход. Перечисленные сведения также есть в выписках из лицевого счета, которые предоставляются в Пенсионном фонде или многофункциональных центрах, оказывающих такую услугу.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Следует отметить, что личные взносы в рамках программы и средства государственного софинансирования входят в общую сумму пенсионных накоплений человека, инвестируются управляющими компаниями и выплачиваются при выходе на пенсию. На сформированные средства распространяются правила правопреемства.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 xml:space="preserve">Работодатели также могут принимать участие в программе софинансирования пенсионных накоплений своих сотрудников. На сумму ежегодного взноса работодателя в пределах 12 тыс. рублей за одного работника не начисляются страховые взносы на обязательное </w:t>
      </w: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lastRenderedPageBreak/>
        <w:t>пенсионное страхование. Помимо этого, взносы работодателя включаются в состав расходов, учитываемых при налогообложении прибыли.</w:t>
      </w:r>
    </w:p>
    <w:p w:rsidR="00924688" w:rsidRPr="007E116D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362CF">
        <w:rPr>
          <w:rFonts w:ascii="Arial" w:hAnsi="Arial" w:cs="Arial"/>
          <w:color w:val="404040" w:themeColor="text1" w:themeTint="BF"/>
          <w:sz w:val="24"/>
          <w:szCs w:val="24"/>
        </w:rPr>
        <w:t>Подробную информацию об участии в программе софинансирования пенсионных накоплений можно узнать в специальном разделе на сайте Фонда.</w:t>
      </w:r>
    </w:p>
    <w:p w:rsidR="00C362CF" w:rsidRPr="007E116D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Пресс-служба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Отделения Пенсионного фонда РФ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по Кабардино-Балкарской республике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г. Нальчик, ул. Пачева 19 «а»,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Офис # 101,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</w:rPr>
        <w:t>Вебсайт: http://www.pfrf.ru/branches/kbr/news/</w:t>
      </w:r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 xml:space="preserve">E-mail: </w:t>
      </w:r>
      <w:hyperlink r:id="rId5" w:history="1">
        <w:r w:rsidRPr="00E866F6">
          <w:rPr>
            <w:rFonts w:ascii="Arial" w:eastAsia="Calibri" w:hAnsi="Arial" w:cs="Arial"/>
            <w:b/>
            <w:color w:val="404040"/>
            <w:sz w:val="24"/>
            <w:szCs w:val="28"/>
            <w:u w:val="single"/>
            <w:lang w:val="en-US"/>
          </w:rPr>
          <w:t>opfr_po_kbr@mail.ru</w:t>
        </w:r>
      </w:hyperlink>
    </w:p>
    <w:p w:rsidR="00C362CF" w:rsidRPr="00E866F6" w:rsidRDefault="00C362CF" w:rsidP="00C362CF">
      <w:pPr>
        <w:spacing w:after="0"/>
        <w:ind w:firstLine="4962"/>
        <w:rPr>
          <w:rFonts w:ascii="Arial" w:eastAsia="Calibri" w:hAnsi="Arial" w:cs="Arial"/>
          <w:b/>
          <w:color w:val="404040"/>
          <w:sz w:val="24"/>
          <w:szCs w:val="28"/>
          <w:lang w:val="en-US"/>
        </w:rPr>
      </w:pPr>
      <w:r w:rsidRPr="00E866F6">
        <w:rPr>
          <w:rFonts w:ascii="Arial" w:eastAsia="Calibri" w:hAnsi="Arial" w:cs="Arial"/>
          <w:b/>
          <w:color w:val="404040"/>
          <w:sz w:val="24"/>
          <w:szCs w:val="28"/>
          <w:lang w:val="en-US"/>
        </w:rPr>
        <w:t>https://www.instagram.com/opfr_po_kbr/</w:t>
      </w:r>
    </w:p>
    <w:p w:rsidR="00C362CF" w:rsidRPr="00C362CF" w:rsidRDefault="00C362CF" w:rsidP="00C362CF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C362CF" w:rsidRPr="00C362CF" w:rsidSect="00C362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CF"/>
    <w:rsid w:val="007E116D"/>
    <w:rsid w:val="00924688"/>
    <w:rsid w:val="00BA67DE"/>
    <w:rsid w:val="00C3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2303</Characters>
  <Application>Microsoft Office Word</Application>
  <DocSecurity>0</DocSecurity>
  <Lines>19</Lines>
  <Paragraphs>5</Paragraphs>
  <ScaleCrop>false</ScaleCrop>
  <Company>Kraftway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2</cp:revision>
  <dcterms:created xsi:type="dcterms:W3CDTF">2020-11-06T08:03:00Z</dcterms:created>
  <dcterms:modified xsi:type="dcterms:W3CDTF">2020-11-27T06:42:00Z</dcterms:modified>
</cp:coreProperties>
</file>